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12" w:rsidRDefault="00CD5412" w:rsidP="00CD5412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1" type="#_x0000_t61" style="position:absolute;left:0;text-align:left;margin-left:-3.45pt;margin-top:-24.35pt;width:49.5pt;height:24.75pt;z-index:251658240" adj="9076,22385" stroked="f">
            <v:textbox style="mso-next-textbox:#_x0000_s1051" inset="5.85pt,.7pt,5.85pt,.7pt">
              <w:txbxContent>
                <w:p w:rsidR="00CD5412" w:rsidRPr="006D792D" w:rsidRDefault="00CD5412" w:rsidP="00CD5412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D792D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改題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61" style="position:absolute;left:0;text-align:left;margin-left:3.3pt;margin-top:4.25pt;width:474.75pt;height:16.5pt;z-index:251658240" adj="3533,19440">
            <v:textbox inset="5.85pt,.7pt,5.85pt,.7pt">
              <w:txbxContent>
                <w:p w:rsidR="00CD5412" w:rsidRPr="006D792D" w:rsidRDefault="00CD5412" w:rsidP="00CD5412">
                  <w:pPr>
                    <w:ind w:firstLineChars="200" w:firstLine="48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第１３－３通巻３９号　　　　　　　　　２０１３年（平成２５年）９月２７日（木</w:t>
                  </w:r>
                  <w:r w:rsidRPr="006D792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CD5412" w:rsidRDefault="00CD5412" w:rsidP="00CD5412">
      <w:r>
        <w:rPr>
          <w:noProof/>
        </w:rPr>
        <w:pict>
          <v:shape id="_x0000_s1046" type="#_x0000_t61" style="position:absolute;left:0;text-align:left;margin-left:-18.45pt;margin-top:8.2pt;width:359.55pt;height:103.8pt;z-index:251658240;mso-wrap-style:none" adj="1093,22453" stroked="f">
            <v:textbox style="mso-next-textbox:#_x0000_s1046" inset="5.85pt,.7pt,5.85pt,.7pt">
              <w:txbxContent>
                <w:p w:rsidR="00CD5412" w:rsidRDefault="00CD5412" w:rsidP="00CD5412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47.25pt;height:76.5pt" adj="5665" fillcolor="black" strokecolor="green">
                        <v:shadow color="#868686"/>
                        <v:textpath style="font-family:&quot;ＭＳ Ｐゴシック&quot;;font-size:48pt;v-text-reverse:t;v-text-kern:t" trim="t" fitpath="t" xscale="f" string="とよっぴー通信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61" style="position:absolute;left:0;text-align:left;margin-left:343.05pt;margin-top:8.2pt;width:161.25pt;height:116.5pt;z-index:251658240" adj="3342,18828">
            <v:textbox style="mso-next-textbox:#_x0000_s1047" inset="5.85pt,.7pt,5.85pt,.7pt">
              <w:txbxContent>
                <w:p w:rsidR="00CD5412" w:rsidRPr="006D792D" w:rsidRDefault="00CD5412" w:rsidP="00CD541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住所：〒５６１－０８８１</w:t>
                  </w:r>
                </w:p>
                <w:p w:rsidR="00CD5412" w:rsidRPr="00855728" w:rsidRDefault="009F38CD" w:rsidP="00CD541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</w:t>
                  </w:r>
                  <w:r w:rsidR="00CD5412" w:rsidRPr="0085572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豊中市中桜塚１－２４－２０</w:t>
                  </w:r>
                </w:p>
                <w:p w:rsidR="009F38CD" w:rsidRDefault="009F38CD" w:rsidP="00CD5412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連絡先：環境交流センター</w:t>
                  </w:r>
                </w:p>
                <w:p w:rsidR="00CD5412" w:rsidRPr="006D792D" w:rsidRDefault="00CD5412" w:rsidP="00CD541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D792D">
                    <w:rPr>
                      <w:rFonts w:ascii="ＭＳ ゴシック" w:eastAsia="ＭＳ ゴシック" w:hAnsi="ＭＳ ゴシック" w:hint="eastAsia"/>
                    </w:rPr>
                    <w:t xml:space="preserve">ＴＥＬ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06-6844-8611</w:t>
                  </w:r>
                </w:p>
                <w:p w:rsidR="00CD5412" w:rsidRDefault="00CD5412" w:rsidP="00CD541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D792D">
                    <w:rPr>
                      <w:rFonts w:ascii="ＭＳ ゴシック" w:eastAsia="ＭＳ ゴシック" w:hAnsi="ＭＳ ゴシック" w:hint="eastAsia"/>
                    </w:rPr>
                    <w:t>ＦＡＸ　06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-6844-8668</w:t>
                  </w:r>
                </w:p>
                <w:p w:rsidR="00CD5412" w:rsidRPr="006D792D" w:rsidRDefault="00CD5412" w:rsidP="00CD541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D5412" w:rsidRDefault="00CD5412" w:rsidP="00CD5412"/>
              </w:txbxContent>
            </v:textbox>
          </v:shape>
        </w:pict>
      </w:r>
    </w:p>
    <w:p w:rsidR="00CD5412" w:rsidRDefault="00CD5412" w:rsidP="00CD5412"/>
    <w:p w:rsidR="00CD5412" w:rsidRDefault="00CD5412" w:rsidP="00CD5412"/>
    <w:p w:rsidR="00CD5412" w:rsidRDefault="00CD5412" w:rsidP="00CD5412"/>
    <w:p w:rsidR="00CD5412" w:rsidRDefault="00CD5412" w:rsidP="00CD5412"/>
    <w:p w:rsidR="00CD5412" w:rsidRDefault="009F38CD" w:rsidP="00CD5412">
      <w:r>
        <w:rPr>
          <w:noProof/>
        </w:rPr>
        <w:pict>
          <v:shape id="_x0000_s1055" type="#_x0000_t61" style="position:absolute;left:0;text-align:left;margin-left:460.8pt;margin-top:7.2pt;width:39.75pt;height:23pt;z-index:251658240" adj="6657,4790">
            <v:textbox style="mso-next-textbox:#_x0000_s1055" inset="5.85pt,.7pt,5.85pt,.7pt">
              <w:txbxContent>
                <w:p w:rsidR="00CD5412" w:rsidRPr="009F38CD" w:rsidRDefault="00CD5412" w:rsidP="00CD541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F38CD">
                    <w:rPr>
                      <w:rFonts w:ascii="ＭＳ ゴシック" w:eastAsia="ＭＳ ゴシック" w:hAnsi="ＭＳ ゴシック" w:hint="eastAsia"/>
                      <w:sz w:val="22"/>
                    </w:rPr>
                    <w:t>検索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61" style="position:absolute;left:0;text-align:left;margin-left:348.3pt;margin-top:7.2pt;width:108pt;height:23pt;z-index:251658240" adj="4750,610">
            <v:textbox style="mso-next-textbox:#_x0000_s1054" inset="5.85pt,.7pt,5.85pt,.7pt">
              <w:txbxContent>
                <w:p w:rsidR="00CD5412" w:rsidRPr="009F38CD" w:rsidRDefault="00CD5412" w:rsidP="00CD541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F38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toyoppy.jp</w:t>
                  </w:r>
                </w:p>
              </w:txbxContent>
            </v:textbox>
          </v:shape>
        </w:pict>
      </w:r>
      <w:r w:rsidR="00CD5412">
        <w:rPr>
          <w:noProof/>
        </w:rPr>
        <w:pict>
          <v:shape id="_x0000_s1052" type="#_x0000_t61" style="position:absolute;left:0;text-align:left;margin-left:-8.7pt;margin-top:1.65pt;width:337.5pt;height:24.05pt;z-index:251658240" adj="1427,20881" strokecolor="#8064a2" strokeweight="5pt">
            <v:stroke linestyle="thickThin"/>
            <v:shadow color="#868686"/>
            <v:textbox style="mso-next-textbox:#_x0000_s1052" inset="5.85pt,.7pt,5.85pt,.7pt">
              <w:txbxContent>
                <w:p w:rsidR="00CD5412" w:rsidRPr="006D792D" w:rsidRDefault="00CD5412" w:rsidP="00CD541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>連絡先：</w:t>
                  </w:r>
                  <w:r w:rsidRPr="006D792D">
                    <w:rPr>
                      <w:rFonts w:ascii="ＭＳ ゴシック" w:eastAsia="ＭＳ ゴシック" w:hAnsi="ＭＳ ゴシック" w:hint="eastAsia"/>
                    </w:rPr>
                    <w:t>ＮＰＯとよなかアジェンダ21内　花と緑のネットワーク</w:t>
                  </w:r>
                </w:p>
                <w:p w:rsidR="00CD5412" w:rsidRPr="006D792D" w:rsidRDefault="00CD5412" w:rsidP="00CD541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D5412" w:rsidRDefault="00CD5412" w:rsidP="00CD5412"/>
              </w:txbxContent>
            </v:textbox>
          </v:shape>
        </w:pict>
      </w:r>
      <w:r w:rsidR="00CD54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18.45pt;margin-top:1.65pt;width:0;height:33pt;z-index:251658240" o:connectortype="straight" strokeweight="2.25pt"/>
        </w:pict>
      </w:r>
      <w:r w:rsidR="00CD5412">
        <w:rPr>
          <w:noProof/>
        </w:rPr>
        <w:pict>
          <v:shape id="_x0000_s1049" type="#_x0000_t32" style="position:absolute;left:0;text-align:left;margin-left:336.3pt;margin-top:1.65pt;width:0;height:33pt;z-index:251658240" o:connectortype="straight" strokeweight="2.25pt"/>
        </w:pict>
      </w:r>
    </w:p>
    <w:p w:rsidR="00CD5412" w:rsidRDefault="00BB0D19" w:rsidP="00CD5412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7" type="#_x0000_t72" style="position:absolute;left:0;text-align:left;margin-left:-24.45pt;margin-top:16.65pt;width:140.25pt;height:94.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inset="5.85pt,.7pt,5.85pt,.7pt"/>
          </v:shape>
        </w:pict>
      </w:r>
      <w:r w:rsidR="00CD5412">
        <w:rPr>
          <w:noProof/>
        </w:rPr>
        <w:pict>
          <v:shape id="_x0000_s1048" type="#_x0000_t32" style="position:absolute;left:0;text-align:left;margin-left:-18.45pt;margin-top:16.65pt;width:354.75pt;height:.05pt;z-index:251658240" o:connectortype="straight" strokeweight="2.25pt"/>
        </w:pict>
      </w:r>
    </w:p>
    <w:p w:rsidR="00D92EEB" w:rsidRDefault="009F38CD" w:rsidP="00CD5412">
      <w:pPr>
        <w:jc w:val="right"/>
      </w:pPr>
      <w:r>
        <w:rPr>
          <w:noProof/>
        </w:rPr>
        <w:pict>
          <v:shape id="_x0000_s1063" type="#_x0000_t61" style="position:absolute;left:0;text-align:left;margin-left:-3.45pt;margin-top:195.9pt;width:181.5pt;height:214.5pt;z-index:251663360" adj="280,18775">
            <v:stroke dashstyle="1 1" endcap="round"/>
            <v:textbox inset="5.85pt,.7pt,5.85pt,.7pt">
              <w:txbxContent>
                <w:p w:rsidR="00091B85" w:rsidRPr="00777A0B" w:rsidRDefault="00091B85" w:rsidP="00777A0B">
                  <w:pPr>
                    <w:ind w:firstLineChars="100" w:firstLine="241"/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</w:pPr>
                  <w:r w:rsidRPr="00777A0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＜サツマイモ収穫実施要領＞</w:t>
                  </w:r>
                </w:p>
                <w:p w:rsidR="00091B85" w:rsidRPr="00BB0D19" w:rsidRDefault="00091B85">
                  <w:pPr>
                    <w:rPr>
                      <w:rFonts w:asciiTheme="majorEastAsia" w:eastAsiaTheme="majorEastAsia" w:hAnsiTheme="majorEastAsia" w:hint="eastAsia"/>
                    </w:rPr>
                  </w:pPr>
                  <w:r w:rsidRPr="00BB0D19">
                    <w:rPr>
                      <w:rFonts w:asciiTheme="majorEastAsia" w:eastAsiaTheme="majorEastAsia" w:hAnsiTheme="majorEastAsia" w:hint="eastAsia"/>
                    </w:rPr>
                    <w:t>○実施日：１０/１２（土）</w:t>
                  </w:r>
                  <w:r w:rsidR="00BB0D19">
                    <w:rPr>
                      <w:rFonts w:asciiTheme="majorEastAsia" w:eastAsiaTheme="majorEastAsia" w:hAnsiTheme="majorEastAsia" w:hint="eastAsia"/>
                    </w:rPr>
                    <w:t>＆</w:t>
                  </w:r>
                  <w:r w:rsidRPr="00BB0D19">
                    <w:rPr>
                      <w:rFonts w:asciiTheme="majorEastAsia" w:eastAsiaTheme="majorEastAsia" w:hAnsiTheme="majorEastAsia" w:hint="eastAsia"/>
                    </w:rPr>
                    <w:t>２３（水）</w:t>
                  </w:r>
                </w:p>
                <w:p w:rsidR="00091B85" w:rsidRPr="00BB0D19" w:rsidRDefault="00091B85">
                  <w:pPr>
                    <w:rPr>
                      <w:rFonts w:asciiTheme="majorEastAsia" w:eastAsiaTheme="majorEastAsia" w:hAnsiTheme="majorEastAsia" w:hint="eastAsia"/>
                    </w:rPr>
                  </w:pPr>
                  <w:r w:rsidRPr="00BB0D19">
                    <w:rPr>
                      <w:rFonts w:asciiTheme="majorEastAsia" w:eastAsiaTheme="majorEastAsia" w:hAnsiTheme="majorEastAsia" w:hint="eastAsia"/>
                    </w:rPr>
                    <w:t xml:space="preserve">　時間はいずれも10：00～11：00</w:t>
                  </w:r>
                </w:p>
                <w:p w:rsidR="00091B85" w:rsidRPr="00BB0D19" w:rsidRDefault="00091B85">
                  <w:pPr>
                    <w:rPr>
                      <w:rFonts w:asciiTheme="majorEastAsia" w:eastAsiaTheme="majorEastAsia" w:hAnsiTheme="majorEastAsia" w:hint="eastAsia"/>
                    </w:rPr>
                  </w:pPr>
                  <w:r w:rsidRPr="00BB0D19">
                    <w:rPr>
                      <w:rFonts w:asciiTheme="majorEastAsia" w:eastAsiaTheme="majorEastAsia" w:hAnsiTheme="majorEastAsia" w:hint="eastAsia"/>
                    </w:rPr>
                    <w:t>○収穫数：１人２株</w:t>
                  </w:r>
                </w:p>
                <w:p w:rsidR="00091B85" w:rsidRPr="00BB0D19" w:rsidRDefault="00091B85">
                  <w:pPr>
                    <w:rPr>
                      <w:rFonts w:asciiTheme="majorEastAsia" w:eastAsiaTheme="majorEastAsia" w:hAnsiTheme="majorEastAsia" w:hint="eastAsia"/>
                    </w:rPr>
                  </w:pPr>
                  <w:r w:rsidRPr="00BB0D19">
                    <w:rPr>
                      <w:rFonts w:asciiTheme="majorEastAsia" w:eastAsiaTheme="majorEastAsia" w:hAnsiTheme="majorEastAsia" w:hint="eastAsia"/>
                    </w:rPr>
                    <w:t xml:space="preserve">　今回は、自分で収穫するか、あるいは</w:t>
                  </w:r>
                  <w:r w:rsidR="00BB0D19" w:rsidRPr="00BB0D19">
                    <w:rPr>
                      <w:rFonts w:asciiTheme="majorEastAsia" w:eastAsiaTheme="majorEastAsia" w:hAnsiTheme="majorEastAsia" w:hint="eastAsia"/>
                    </w:rPr>
                    <w:t>掘り上げたものをお持ち帰りいただくか</w:t>
                  </w:r>
                  <w:r w:rsidR="00BB0D19">
                    <w:rPr>
                      <w:rFonts w:asciiTheme="majorEastAsia" w:eastAsiaTheme="majorEastAsia" w:hAnsiTheme="majorEastAsia" w:hint="eastAsia"/>
                    </w:rPr>
                    <w:t>の</w:t>
                  </w:r>
                  <w:r w:rsidR="00BB0D19" w:rsidRPr="00BB0D19">
                    <w:rPr>
                      <w:rFonts w:asciiTheme="majorEastAsia" w:eastAsiaTheme="majorEastAsia" w:hAnsiTheme="majorEastAsia" w:hint="eastAsia"/>
                    </w:rPr>
                    <w:t>選択</w:t>
                  </w:r>
                  <w:r w:rsidR="00BB0D19">
                    <w:rPr>
                      <w:rFonts w:asciiTheme="majorEastAsia" w:eastAsiaTheme="majorEastAsia" w:hAnsiTheme="majorEastAsia" w:hint="eastAsia"/>
                    </w:rPr>
                    <w:t>制</w:t>
                  </w:r>
                  <w:r w:rsidR="00BB0D19" w:rsidRPr="00BB0D19">
                    <w:rPr>
                      <w:rFonts w:asciiTheme="majorEastAsia" w:eastAsiaTheme="majorEastAsia" w:hAnsiTheme="majorEastAsia" w:hint="eastAsia"/>
                    </w:rPr>
                    <w:t>とします。</w:t>
                  </w:r>
                </w:p>
                <w:p w:rsidR="00BB0D19" w:rsidRDefault="00BB0D19">
                  <w:pPr>
                    <w:rPr>
                      <w:rFonts w:asciiTheme="majorEastAsia" w:eastAsiaTheme="majorEastAsia" w:hAnsiTheme="majorEastAsia" w:hint="eastAsia"/>
                    </w:rPr>
                  </w:pPr>
                  <w:r w:rsidRPr="00BB0D19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9F38CD">
                    <w:rPr>
                      <w:rFonts w:asciiTheme="majorEastAsia" w:eastAsiaTheme="majorEastAsia" w:hAnsiTheme="majorEastAsia" w:hint="eastAsia"/>
                    </w:rPr>
                    <w:t>自分で掘っていただく場合は、車等の移動のお願いする場合があります。</w:t>
                  </w:r>
                </w:p>
                <w:p w:rsidR="00BB0D19" w:rsidRPr="00BB0D19" w:rsidRDefault="00BB0D19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○収穫受付：頒布申込みの受付に収穫の旨、お伝え下さい。</w:t>
                  </w:r>
                </w:p>
              </w:txbxContent>
            </v:textbox>
          </v:shape>
        </w:pict>
      </w:r>
      <w:r w:rsidR="004753C6">
        <w:rPr>
          <w:noProof/>
        </w:rPr>
        <w:pict>
          <v:shape id="_x0000_s1060" type="#_x0000_t61" style="position:absolute;left:0;text-align:left;margin-left:-3.45pt;margin-top:75.9pt;width:188.25pt;height:116.25pt;z-index:251661312" adj="13505,20346" stroked="f">
            <v:textbox inset="5.85pt,.7pt,5.85pt,.7pt">
              <w:txbxContent>
                <w:p w:rsidR="00091B85" w:rsidRDefault="004753C6">
                  <w:r>
                    <w:rPr>
                      <w:noProof/>
                    </w:rPr>
                    <w:drawing>
                      <wp:inline distT="0" distB="0" distL="0" distR="0">
                        <wp:extent cx="2336800" cy="1752600"/>
                        <wp:effectExtent l="19050" t="0" r="6350" b="0"/>
                        <wp:docPr id="52" name="図 52" descr="C:\Users\Y-nakamura\AppData\Local\Microsoft\Windows\Temporary Internet Files\Content.Word\IMG_81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Users\Y-nakamura\AppData\Local\Microsoft\Windows\Temporary Internet Files\Content.Word\IMG_81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7491" cy="1753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7614">
        <w:rPr>
          <w:noProof/>
        </w:rPr>
        <w:pict>
          <v:shape id="_x0000_s1071" type="#_x0000_t61" style="position:absolute;left:0;text-align:left;margin-left:348.3pt;margin-top:516.15pt;width:108pt;height:35.25pt;z-index:251669504" adj="4700,16269" stroked="f">
            <v:textbox inset="5.85pt,.7pt,5.85pt,.7pt">
              <w:txbxContent>
                <w:p w:rsidR="00AA0275" w:rsidRDefault="00AA0275" w:rsidP="00D2761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毎回３０人近くの人が学んでいます。</w:t>
                  </w:r>
                </w:p>
              </w:txbxContent>
            </v:textbox>
          </v:shape>
        </w:pict>
      </w:r>
      <w:r w:rsidR="00AA0275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9" type="#_x0000_t62" style="position:absolute;left:0;text-align:left;margin-left:-3.45pt;margin-top:511.65pt;width:7in;height:130.5pt;z-index:251668480" adj="951,1723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inset="5.85pt,.7pt,5.85pt,.7pt">
              <w:txbxContent>
                <w:p w:rsidR="00777A0B" w:rsidRDefault="00777A0B">
                  <w:pP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「都市で学ぶ農楽講座」受講しませんか。１回受講も可！</w:t>
                  </w:r>
                </w:p>
                <w:tbl>
                  <w:tblPr>
                    <w:tblStyle w:val="a3"/>
                    <w:tblW w:w="9322" w:type="dxa"/>
                    <w:tblLook w:val="04A0"/>
                  </w:tblPr>
                  <w:tblGrid>
                    <w:gridCol w:w="1242"/>
                    <w:gridCol w:w="2835"/>
                    <w:gridCol w:w="2977"/>
                    <w:gridCol w:w="2268"/>
                  </w:tblGrid>
                  <w:tr w:rsidR="00AA0275" w:rsidTr="00AA0275">
                    <w:tc>
                      <w:tcPr>
                        <w:tcW w:w="1242" w:type="dxa"/>
                      </w:tcPr>
                      <w:p w:rsidR="00AA0275" w:rsidRPr="00777A0B" w:rsidRDefault="00AA0275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10/25（金）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A0275" w:rsidRPr="00777A0B" w:rsidRDefault="00AA0275" w:rsidP="008E1EBA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作物作りの病害対策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A0275" w:rsidRPr="00777A0B" w:rsidRDefault="00AA0275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開発　基良氏（園芸高校教諭）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A0275" w:rsidRPr="00777A0B" w:rsidRDefault="00AA0275" w:rsidP="00AA0275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環境交流センター</w:t>
                        </w:r>
                      </w:p>
                    </w:tc>
                  </w:tr>
                  <w:tr w:rsidR="00AA0275" w:rsidTr="00AA0275">
                    <w:tc>
                      <w:tcPr>
                        <w:tcW w:w="1242" w:type="dxa"/>
                      </w:tcPr>
                      <w:p w:rsidR="00AA0275" w:rsidRPr="00777A0B" w:rsidRDefault="00AA0275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11/ 8（金）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A0275" w:rsidRPr="00777A0B" w:rsidRDefault="00AA0275" w:rsidP="008E1EBA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作物作りの病虫対策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A0275" w:rsidRPr="00777A0B" w:rsidRDefault="00AA0275" w:rsidP="00AA0275">
                        <w:pPr>
                          <w:jc w:val="center"/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〃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A0275" w:rsidRPr="00777A0B" w:rsidRDefault="00AA0275" w:rsidP="00AA0275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〃</w:t>
                        </w:r>
                      </w:p>
                    </w:tc>
                  </w:tr>
                  <w:tr w:rsidR="00AA0275" w:rsidTr="00AA0275">
                    <w:tc>
                      <w:tcPr>
                        <w:tcW w:w="1242" w:type="dxa"/>
                      </w:tcPr>
                      <w:p w:rsidR="00AA0275" w:rsidRPr="00777A0B" w:rsidRDefault="00AA0275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11/22（金）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A0275" w:rsidRPr="00777A0B" w:rsidRDefault="00AA0275" w:rsidP="008E1EBA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連作障害の除去と栽培計画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A0275" w:rsidRPr="00777A0B" w:rsidRDefault="00AA0275" w:rsidP="00AA0275">
                        <w:pPr>
                          <w:jc w:val="center"/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〃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A0275" w:rsidRPr="00777A0B" w:rsidRDefault="00AA0275" w:rsidP="00AA0275">
                        <w:pP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青年の家いぶき</w:t>
                        </w:r>
                      </w:p>
                    </w:tc>
                  </w:tr>
                </w:tbl>
                <w:p w:rsidR="00777A0B" w:rsidRPr="00777A0B" w:rsidRDefault="00AA0275">
                  <w:pPr>
                    <w:rPr>
                      <w:rFonts w:ascii="HGP創英角ｺﾞｼｯｸUB" w:eastAsia="HGP創英角ｺﾞｼｯｸUB" w:hint="eastAsia"/>
                      <w:szCs w:val="21"/>
                    </w:rPr>
                  </w:pPr>
                  <w:r>
                    <w:rPr>
                      <w:rFonts w:ascii="HGP創英角ｺﾞｼｯｸUB" w:eastAsia="HGP創英角ｺﾞｼｯｸUB" w:hint="eastAsia"/>
                      <w:szCs w:val="21"/>
                    </w:rPr>
                    <w:t xml:space="preserve">　　　　　　　　　　　　　　　　　※受講は無料です。時間は１３：３０～１５：００　直接会場へお越しください。</w:t>
                  </w:r>
                </w:p>
              </w:txbxContent>
            </v:textbox>
          </v:shape>
        </w:pict>
      </w:r>
      <w:r w:rsidR="00777A0B">
        <w:rPr>
          <w:noProof/>
        </w:rPr>
        <w:pict>
          <v:shape id="_x0000_s1066" type="#_x0000_t61" style="position:absolute;left:0;text-align:left;margin-left:336.3pt;margin-top:318.9pt;width:168pt;height:187.5pt;z-index:251665408" adj="7194,20028" stroked="f">
            <v:textbox inset="5.85pt,.7pt,5.85pt,.7pt">
              <w:txbxContent>
                <w:p w:rsidR="00E24157" w:rsidRDefault="00E24157" w:rsidP="009F38C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</w:t>
                  </w:r>
                  <w:r w:rsidR="009F38CD">
                    <w:rPr>
                      <w:rFonts w:hint="eastAsia"/>
                    </w:rPr>
                    <w:t>とよっぴーの比較</w:t>
                  </w:r>
                  <w:r>
                    <w:rPr>
                      <w:rFonts w:hint="eastAsia"/>
                    </w:rPr>
                    <w:t>分析結果】</w:t>
                  </w:r>
                </w:p>
                <w:tbl>
                  <w:tblPr>
                    <w:tblStyle w:val="a3"/>
                    <w:tblW w:w="3227" w:type="dxa"/>
                    <w:tblLook w:val="04A0"/>
                  </w:tblPr>
                  <w:tblGrid>
                    <w:gridCol w:w="1242"/>
                    <w:gridCol w:w="993"/>
                    <w:gridCol w:w="992"/>
                  </w:tblGrid>
                  <w:tr w:rsidR="00E24157" w:rsidTr="00777A0B">
                    <w:tc>
                      <w:tcPr>
                        <w:tcW w:w="1242" w:type="dxa"/>
                        <w:tcBorders>
                          <w:tl2br w:val="single" w:sz="4" w:space="0" w:color="auto"/>
                        </w:tcBorders>
                      </w:tcPr>
                      <w:p w:rsidR="00E24157" w:rsidRPr="00E24157" w:rsidRDefault="00E2415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24157" w:rsidRPr="00E24157" w:rsidRDefault="004D70F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①</w:t>
                        </w:r>
                        <w:r w:rsidR="00777A0B">
                          <w:rPr>
                            <w:rFonts w:hint="eastAsia"/>
                            <w:sz w:val="16"/>
                            <w:szCs w:val="16"/>
                          </w:rPr>
                          <w:t>旧</w:t>
                        </w:r>
                        <w:r w:rsidR="00E24157" w:rsidRPr="00E24157">
                          <w:rPr>
                            <w:rFonts w:hint="eastAsia"/>
                            <w:sz w:val="16"/>
                            <w:szCs w:val="16"/>
                          </w:rPr>
                          <w:t>とよっぴー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4157" w:rsidRPr="00E24157" w:rsidRDefault="004D70F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②</w:t>
                        </w:r>
                        <w:r w:rsidR="00E24157" w:rsidRPr="00E24157">
                          <w:rPr>
                            <w:rFonts w:hint="eastAsia"/>
                            <w:sz w:val="16"/>
                            <w:szCs w:val="16"/>
                          </w:rPr>
                          <w:t>細粒とよっぴー</w:t>
                        </w:r>
                      </w:p>
                    </w:tc>
                  </w:tr>
                  <w:tr w:rsidR="00E24157" w:rsidTr="00E24157">
                    <w:tc>
                      <w:tcPr>
                        <w:tcW w:w="1242" w:type="dxa"/>
                      </w:tcPr>
                      <w:p w:rsidR="00E24157" w:rsidRDefault="00E24157">
                        <w:r>
                          <w:rPr>
                            <w:rFonts w:hint="eastAsia"/>
                          </w:rPr>
                          <w:t>ＰＨ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24157" w:rsidRPr="00777A0B" w:rsidRDefault="00E24157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777A0B">
                          <w:rPr>
                            <w:rFonts w:asciiTheme="minorEastAsia" w:eastAsiaTheme="minorEastAsia" w:hAnsiTheme="minorEastAsia" w:hint="eastAsia"/>
                          </w:rPr>
                          <w:t>６．７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4157" w:rsidRPr="00777A0B" w:rsidRDefault="004D70F4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777A0B">
                          <w:rPr>
                            <w:rFonts w:asciiTheme="minorEastAsia" w:eastAsiaTheme="minorEastAsia" w:hAnsiTheme="minorEastAsia" w:hint="eastAsia"/>
                          </w:rPr>
                          <w:t>６．７</w:t>
                        </w:r>
                      </w:p>
                    </w:tc>
                  </w:tr>
                  <w:tr w:rsidR="00E24157" w:rsidTr="00E24157">
                    <w:tc>
                      <w:tcPr>
                        <w:tcW w:w="1242" w:type="dxa"/>
                      </w:tcPr>
                      <w:p w:rsidR="00E24157" w:rsidRDefault="00E24157">
                        <w:r>
                          <w:rPr>
                            <w:rFonts w:hint="eastAsia"/>
                          </w:rPr>
                          <w:t>全窒素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24157" w:rsidRPr="00777A0B" w:rsidRDefault="00E24157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777A0B">
                          <w:rPr>
                            <w:rFonts w:asciiTheme="minorEastAsia" w:eastAsiaTheme="minorEastAsia" w:hAnsiTheme="minorEastAsia" w:hint="eastAsia"/>
                          </w:rPr>
                          <w:t>２．１％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4157" w:rsidRPr="00777A0B" w:rsidRDefault="00777A0B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３．１</w:t>
                        </w:r>
                        <w:r w:rsidR="004D70F4" w:rsidRPr="00777A0B">
                          <w:rPr>
                            <w:rFonts w:asciiTheme="minorEastAsia" w:eastAsiaTheme="minorEastAsia" w:hAnsiTheme="minorEastAsia" w:hint="eastAsia"/>
                          </w:rPr>
                          <w:t>％</w:t>
                        </w:r>
                      </w:p>
                    </w:tc>
                  </w:tr>
                  <w:tr w:rsidR="00E24157" w:rsidTr="00E24157">
                    <w:tc>
                      <w:tcPr>
                        <w:tcW w:w="1242" w:type="dxa"/>
                      </w:tcPr>
                      <w:p w:rsidR="00E24157" w:rsidRDefault="00E24157">
                        <w:r>
                          <w:rPr>
                            <w:rFonts w:hint="eastAsia"/>
                          </w:rPr>
                          <w:t>リン全量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24157" w:rsidRPr="00777A0B" w:rsidRDefault="00E24157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777A0B">
                          <w:rPr>
                            <w:rFonts w:asciiTheme="minorEastAsia" w:eastAsiaTheme="minorEastAsia" w:hAnsiTheme="minorEastAsia" w:hint="eastAsia"/>
                          </w:rPr>
                          <w:t>0.75％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4157" w:rsidRPr="00777A0B" w:rsidRDefault="004D70F4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777A0B">
                          <w:rPr>
                            <w:rFonts w:asciiTheme="minorEastAsia" w:eastAsiaTheme="minorEastAsia" w:hAnsiTheme="minorEastAsia" w:hint="eastAsia"/>
                          </w:rPr>
                          <w:t>0.77％</w:t>
                        </w:r>
                      </w:p>
                    </w:tc>
                  </w:tr>
                  <w:tr w:rsidR="00E24157" w:rsidTr="00E24157">
                    <w:tc>
                      <w:tcPr>
                        <w:tcW w:w="1242" w:type="dxa"/>
                      </w:tcPr>
                      <w:p w:rsidR="00E24157" w:rsidRDefault="00E24157">
                        <w:r>
                          <w:rPr>
                            <w:rFonts w:hint="eastAsia"/>
                          </w:rPr>
                          <w:t>カリ全量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24157" w:rsidRPr="00777A0B" w:rsidRDefault="00777A0B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1.14</w:t>
                        </w:r>
                        <w:r w:rsidR="004D70F4" w:rsidRPr="00777A0B">
                          <w:rPr>
                            <w:rFonts w:asciiTheme="minorEastAsia" w:eastAsiaTheme="minorEastAsia" w:hAnsiTheme="minorEastAsia" w:hint="eastAsia"/>
                          </w:rPr>
                          <w:t>％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4157" w:rsidRPr="00777A0B" w:rsidRDefault="004D70F4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777A0B">
                          <w:rPr>
                            <w:rFonts w:asciiTheme="minorEastAsia" w:eastAsiaTheme="minorEastAsia" w:hAnsiTheme="minorEastAsia" w:hint="eastAsia"/>
                          </w:rPr>
                          <w:t>1.64％</w:t>
                        </w:r>
                      </w:p>
                    </w:tc>
                  </w:tr>
                  <w:tr w:rsidR="00E24157" w:rsidTr="00E24157">
                    <w:tc>
                      <w:tcPr>
                        <w:tcW w:w="1242" w:type="dxa"/>
                      </w:tcPr>
                      <w:p w:rsidR="00E24157" w:rsidRDefault="00E2415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Ｃ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Ｎ比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24157" w:rsidRPr="00777A0B" w:rsidRDefault="00777A0B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777A0B">
                          <w:rPr>
                            <w:rFonts w:asciiTheme="minorEastAsia" w:eastAsiaTheme="minorEastAsia" w:hAnsiTheme="minorEastAsia" w:hint="eastAsia"/>
                          </w:rPr>
                          <w:t>１６．０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4157" w:rsidRPr="00777A0B" w:rsidRDefault="004D70F4" w:rsidP="00777A0B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777A0B">
                          <w:rPr>
                            <w:rFonts w:asciiTheme="minorEastAsia" w:eastAsiaTheme="minorEastAsia" w:hAnsiTheme="minorEastAsia" w:hint="eastAsia"/>
                          </w:rPr>
                          <w:t>１３．７</w:t>
                        </w:r>
                      </w:p>
                    </w:tc>
                  </w:tr>
                </w:tbl>
                <w:p w:rsidR="004D70F4" w:rsidRPr="00D27614" w:rsidRDefault="004D70F4">
                  <w:pPr>
                    <w:rPr>
                      <w:rFonts w:asciiTheme="minorEastAsia" w:eastAsiaTheme="minorEastAsia" w:hAnsiTheme="minorEastAsia" w:hint="eastAsia"/>
                    </w:rPr>
                  </w:pPr>
                  <w:r>
                    <w:rPr>
                      <w:rFonts w:hint="eastAsia"/>
                    </w:rPr>
                    <w:t>注：</w:t>
                  </w:r>
                  <w:r w:rsidRPr="00D27614">
                    <w:rPr>
                      <w:rFonts w:asciiTheme="minorEastAsia" w:eastAsiaTheme="minorEastAsia" w:hAnsiTheme="minorEastAsia" w:hint="eastAsia"/>
                    </w:rPr>
                    <w:t xml:space="preserve">①はＨ24.1.10　</w:t>
                  </w:r>
                </w:p>
                <w:p w:rsidR="00E24157" w:rsidRPr="00D27614" w:rsidRDefault="004D70F4" w:rsidP="004D70F4">
                  <w:pPr>
                    <w:ind w:firstLineChars="200" w:firstLine="420"/>
                    <w:rPr>
                      <w:rFonts w:asciiTheme="minorEastAsia" w:eastAsiaTheme="minorEastAsia" w:hAnsiTheme="minorEastAsia"/>
                    </w:rPr>
                  </w:pPr>
                  <w:r w:rsidRPr="00D27614">
                    <w:rPr>
                      <w:rFonts w:asciiTheme="minorEastAsia" w:eastAsiaTheme="minorEastAsia" w:hAnsiTheme="minorEastAsia" w:hint="eastAsia"/>
                    </w:rPr>
                    <w:t>②はＨ25.1．9　の分析結果</w:t>
                  </w:r>
                </w:p>
              </w:txbxContent>
            </v:textbox>
          </v:shape>
        </w:pict>
      </w:r>
      <w:r w:rsidR="00777A0B">
        <w:rPr>
          <w:noProof/>
        </w:rPr>
        <w:pict>
          <v:shape id="_x0000_s1065" type="#_x0000_t61" style="position:absolute;left:0;text-align:left;margin-left:194.55pt;margin-top:253.65pt;width:301.5pt;height:84.75pt;z-index:251664384" adj="1619,14680" stroked="f">
            <v:textbox inset="5.85pt,.7pt,5.85pt,.7pt">
              <w:txbxContent>
                <w:p w:rsidR="00BB0D19" w:rsidRDefault="00BB0D19">
                  <w:pP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剪定枝の細粒化堆肥は好評です。</w:t>
                  </w:r>
                </w:p>
                <w:p w:rsidR="00BB0D19" w:rsidRPr="004753C6" w:rsidRDefault="00BB0D19">
                  <w:pPr>
                    <w:rPr>
                      <w:rFonts w:ascii="ＭＳ Ｐゴシック" w:eastAsia="ＭＳ Ｐゴシック" w:hAnsi="ＭＳ Ｐゴシック" w:hint="eastAsia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E2415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</w:t>
                  </w:r>
                  <w:r w:rsidR="00E24157" w:rsidRPr="004753C6">
                    <w:rPr>
                      <w:rFonts w:ascii="ＭＳ Ｐゴシック" w:eastAsia="ＭＳ Ｐゴシック" w:hAnsi="ＭＳ Ｐゴシック" w:hint="eastAsia"/>
                      <w:color w:val="7030A0"/>
                      <w:sz w:val="24"/>
                      <w:szCs w:val="24"/>
                    </w:rPr>
                    <w:t xml:space="preserve">　</w:t>
                  </w:r>
                  <w:r w:rsidRPr="004753C6">
                    <w:rPr>
                      <w:rFonts w:ascii="ＭＳ Ｐゴシック" w:eastAsia="ＭＳ Ｐゴシック" w:hAnsi="ＭＳ Ｐゴシック" w:hint="eastAsia"/>
                      <w:b/>
                      <w:color w:val="7030A0"/>
                      <w:sz w:val="28"/>
                      <w:szCs w:val="28"/>
                    </w:rPr>
                    <w:t>８月後半から新「とよっぴー」を頒布中</w:t>
                  </w:r>
                </w:p>
              </w:txbxContent>
            </v:textbox>
          </v:shape>
        </w:pict>
      </w:r>
      <w:r w:rsidR="004D70F4">
        <w:rPr>
          <w:noProof/>
        </w:rPr>
        <w:pict>
          <v:shape id="_x0000_s1067" type="#_x0000_t61" style="position:absolute;left:0;text-align:left;margin-left:184.8pt;margin-top:322.65pt;width:2in;height:93pt;z-index:251666432" adj="4748,21077" stroked="f">
            <v:textbox inset="5.85pt,.7pt,5.85pt,.7pt">
              <w:txbxContent>
                <w:p w:rsidR="004D70F4" w:rsidRDefault="004D70F4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従前からお知らせしていました「とよっぴー」の副資材である剪定枝（</w:t>
                  </w:r>
                  <w:r w:rsidR="00D27614">
                    <w:rPr>
                      <w:rFonts w:hint="eastAsia"/>
                      <w:sz w:val="24"/>
                      <w:szCs w:val="24"/>
                    </w:rPr>
                    <w:t>チップ</w:t>
                  </w:r>
                  <w:r>
                    <w:rPr>
                      <w:rFonts w:hint="eastAsia"/>
                      <w:sz w:val="24"/>
                      <w:szCs w:val="24"/>
                    </w:rPr>
                    <w:t>）について、</w:t>
                  </w:r>
                  <w:r w:rsidR="00D27614">
                    <w:rPr>
                      <w:rFonts w:hint="eastAsia"/>
                      <w:sz w:val="24"/>
                      <w:szCs w:val="24"/>
                    </w:rPr>
                    <w:t>試</w:t>
                  </w:r>
                </w:p>
                <w:p w:rsidR="004D70F4" w:rsidRPr="004D70F4" w:rsidRDefault="004D70F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行や各分析結果を踏ま</w:t>
                  </w:r>
                  <w:r w:rsidR="00D27614" w:rsidRPr="004D70F4">
                    <w:rPr>
                      <w:rFonts w:hint="eastAsia"/>
                      <w:sz w:val="24"/>
                      <w:szCs w:val="24"/>
                    </w:rPr>
                    <w:t>え</w:t>
                  </w:r>
                </w:p>
              </w:txbxContent>
            </v:textbox>
          </v:shape>
        </w:pict>
      </w:r>
      <w:r w:rsidR="004D70F4">
        <w:rPr>
          <w:noProof/>
        </w:rPr>
        <w:pict>
          <v:shape id="_x0000_s1068" type="#_x0000_t61" style="position:absolute;left:0;text-align:left;margin-left:-3.45pt;margin-top:415.65pt;width:332.25pt;height:90.75pt;z-index:251667456" adj="3933,20565" stroked="f">
            <v:textbox inset="5.85pt,.7pt,5.85pt,.7pt">
              <w:txbxContent>
                <w:p w:rsidR="004D70F4" w:rsidRDefault="004D70F4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D70F4">
                    <w:rPr>
                      <w:rFonts w:hint="eastAsia"/>
                      <w:sz w:val="24"/>
                      <w:szCs w:val="24"/>
                    </w:rPr>
                    <w:t>８月</w:t>
                  </w:r>
                  <w:r>
                    <w:rPr>
                      <w:rFonts w:hint="eastAsia"/>
                      <w:sz w:val="24"/>
                      <w:szCs w:val="24"/>
                    </w:rPr>
                    <w:t>から本格的に頒布しています。各分析結果では、</w:t>
                  </w:r>
                  <w:r w:rsidR="00D27614">
                    <w:rPr>
                      <w:rFonts w:hint="eastAsia"/>
                      <w:sz w:val="24"/>
                      <w:szCs w:val="24"/>
                    </w:rPr>
                    <w:t>製品上</w:t>
                  </w:r>
                </w:p>
                <w:p w:rsidR="004D70F4" w:rsidRPr="004D70F4" w:rsidRDefault="004D70F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の問題もなく、剪定枝が以前に比べより細かくなったことから、使い勝手が良いとの反応が寄せられています。また、保育所等での活用評価の回答でも、「新とよっぴー」に対する問題指摘は現在のところありません。</w:t>
                  </w:r>
                </w:p>
              </w:txbxContent>
            </v:textbox>
          </v:shape>
        </w:pict>
      </w:r>
      <w:r w:rsidR="00BB0D19">
        <w:rPr>
          <w:noProof/>
        </w:rPr>
        <w:pict>
          <v:shape id="_x0000_s1058" type="#_x0000_t61" style="position:absolute;left:0;text-align:left;margin-left:12.3pt;margin-top:30.15pt;width:57.75pt;height:35.25pt;z-index:251660288" adj="5648,1976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inset="5.85pt,.7pt,5.85pt,.7pt">
              <w:txbxContent>
                <w:p w:rsidR="00CD5412" w:rsidRPr="004753C6" w:rsidRDefault="00CD5412">
                  <w:pPr>
                    <w:rPr>
                      <w:rFonts w:ascii="HGP創英角ﾎﾟｯﾌﾟ体" w:eastAsia="HGP創英角ﾎﾟｯﾌﾟ体" w:hint="eastAsia"/>
                      <w:color w:val="C00000"/>
                      <w:sz w:val="32"/>
                      <w:szCs w:val="32"/>
                    </w:rPr>
                  </w:pPr>
                  <w:r w:rsidRPr="004753C6">
                    <w:rPr>
                      <w:rFonts w:ascii="HGP創英角ﾎﾟｯﾌﾟ体" w:eastAsia="HGP創英角ﾎﾟｯﾌﾟ体" w:hint="eastAsia"/>
                      <w:color w:val="C00000"/>
                      <w:sz w:val="32"/>
                      <w:szCs w:val="32"/>
                    </w:rPr>
                    <w:t>特　報</w:t>
                  </w:r>
                </w:p>
              </w:txbxContent>
            </v:textbox>
          </v:shape>
        </w:pict>
      </w:r>
      <w:r w:rsidR="00BB0D19">
        <w:rPr>
          <w:noProof/>
        </w:rPr>
        <w:pict>
          <v:shape id="_x0000_s1059" type="#_x0000_t61" style="position:absolute;left:0;text-align:left;margin-left:115.8pt;margin-top:42.15pt;width:380.25pt;height:33.75pt;z-index:-251656705" adj="1929,20160" stroked="f">
            <v:textbox inset="5.85pt,.7pt,5.85pt,.7pt">
              <w:txbxContent>
                <w:p w:rsidR="00CD5412" w:rsidRPr="004753C6" w:rsidRDefault="00CD5412">
                  <w:pPr>
                    <w:rPr>
                      <w:rFonts w:ascii="HG丸ｺﾞｼｯｸM-PRO" w:eastAsia="HG丸ｺﾞｼｯｸM-PRO" w:hint="eastAsia"/>
                      <w:b/>
                      <w:color w:val="FF0000"/>
                      <w:sz w:val="28"/>
                      <w:szCs w:val="28"/>
                    </w:rPr>
                  </w:pPr>
                  <w:r w:rsidRPr="004753C6">
                    <w:rPr>
                      <w:rFonts w:ascii="HG丸ｺﾞｼｯｸM-PRO" w:eastAsia="HG丸ｺﾞｼｯｸM-PRO" w:hint="eastAsia"/>
                      <w:b/>
                      <w:color w:val="FF0000"/>
                      <w:sz w:val="28"/>
                      <w:szCs w:val="28"/>
                    </w:rPr>
                    <w:t>１０月１２日（土）</w:t>
                  </w:r>
                  <w:r w:rsidR="00BB0D19" w:rsidRPr="004753C6">
                    <w:rPr>
                      <w:rFonts w:ascii="HG丸ｺﾞｼｯｸM-PRO" w:eastAsia="HG丸ｺﾞｼｯｸM-PRO" w:hint="eastAsia"/>
                      <w:b/>
                      <w:color w:val="FF0000"/>
                      <w:sz w:val="28"/>
                      <w:szCs w:val="28"/>
                    </w:rPr>
                    <w:t>若しくは２３日（水）</w:t>
                  </w:r>
                  <w:r w:rsidRPr="004753C6">
                    <w:rPr>
                      <w:rFonts w:ascii="HG丸ｺﾞｼｯｸM-PRO" w:eastAsia="HG丸ｺﾞｼｯｸM-PRO" w:hint="eastAsia"/>
                      <w:b/>
                      <w:color w:val="FF0000"/>
                      <w:sz w:val="28"/>
                      <w:szCs w:val="28"/>
                    </w:rPr>
                    <w:t>の頒布日に実施</w:t>
                  </w:r>
                </w:p>
              </w:txbxContent>
            </v:textbox>
          </v:shape>
        </w:pict>
      </w:r>
      <w:r w:rsidR="00091B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84.8pt;margin-top:75.9pt;width:311.25pt;height:181.5pt;z-index:251662336" stroked="f">
            <v:textbox inset="5.85pt,.7pt,5.85pt,.7pt">
              <w:txbxContent>
                <w:p w:rsidR="00091B85" w:rsidRDefault="00091B85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毎年、倶楽部会員の皆様にご好評を得ている「サツマイモ」収穫の行事は、今回、１０月１２日（土）若しくは２３日（水）の「とよっぴー頒布日」（１０：００～１１：００）に実施することとなりました。</w:t>
                  </w:r>
                </w:p>
                <w:p w:rsidR="00091B85" w:rsidRPr="00091B85" w:rsidRDefault="00091B8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今夏は異常高温が続き「サツマイモ」が一番育つ時期に雨が降らず、水不足で十分な成長でないサツマイモもあり、「とよっぴー祭り」</w:t>
                  </w:r>
                  <w:r w:rsidR="009F38CD">
                    <w:rPr>
                      <w:rFonts w:hint="eastAsia"/>
                      <w:sz w:val="24"/>
                      <w:szCs w:val="24"/>
                    </w:rPr>
                    <w:t>恒例</w:t>
                  </w:r>
                  <w:r>
                    <w:rPr>
                      <w:rFonts w:hint="eastAsia"/>
                      <w:sz w:val="24"/>
                      <w:szCs w:val="24"/>
                    </w:rPr>
                    <w:t>の収穫体験を中止</w:t>
                  </w:r>
                  <w:r w:rsidR="009F38CD">
                    <w:rPr>
                      <w:rFonts w:hint="eastAsia"/>
                      <w:sz w:val="24"/>
                      <w:szCs w:val="24"/>
                    </w:rPr>
                    <w:t>しました。そのため、</w:t>
                  </w:r>
                  <w:r>
                    <w:rPr>
                      <w:rFonts w:hint="eastAsia"/>
                      <w:sz w:val="24"/>
                      <w:szCs w:val="24"/>
                    </w:rPr>
                    <w:t>会員の皆様には、頒布日に収穫していただきます。左表の実施要領をお読みの上、収穫</w:t>
                  </w:r>
                  <w:r w:rsidR="00BB0D19">
                    <w:rPr>
                      <w:rFonts w:hint="eastAsia"/>
                      <w:sz w:val="24"/>
                      <w:szCs w:val="24"/>
                    </w:rPr>
                    <w:t>等の対応を</w:t>
                  </w:r>
                  <w:r w:rsidR="00D27614">
                    <w:rPr>
                      <w:rFonts w:hint="eastAsia"/>
                      <w:sz w:val="24"/>
                      <w:szCs w:val="24"/>
                    </w:rPr>
                    <w:t>お願いします。</w:t>
                  </w:r>
                  <w:r w:rsidR="004753C6">
                    <w:rPr>
                      <w:rFonts w:hint="eastAsia"/>
                      <w:sz w:val="24"/>
                      <w:szCs w:val="24"/>
                    </w:rPr>
                    <w:t>（写真は、水不足で緊急灌水の様子）</w:t>
                  </w:r>
                </w:p>
              </w:txbxContent>
            </v:textbox>
          </v:shape>
        </w:pict>
      </w:r>
      <w:r w:rsidR="00CD5412">
        <w:rPr>
          <w:rFonts w:hint="eastAsia"/>
        </w:rPr>
        <w:t xml:space="preserve">　　　　　　　　　</w:t>
      </w:r>
      <w:r w:rsidR="004753C6" w:rsidRPr="004753C6">
        <w:rPr>
          <w:color w:val="00B050"/>
        </w:rPr>
        <w:pict>
          <v:shape id="_x0000_i1025" type="#_x0000_t161" style="width:351.75pt;height:48pt" adj="5665" fillcolor="#00b050">
            <v:shadow color="#868686"/>
            <v:textpath style="font-family:&quot;ＭＳ Ｐゴシック&quot;;v-text-reverse:t;v-text-kern:t" trim="t" fitpath="t" xscale="f" string="サツマイモ収穫！"/>
          </v:shape>
        </w:pict>
      </w:r>
    </w:p>
    <w:sectPr w:rsidR="00D92EEB" w:rsidSect="00AA0275">
      <w:pgSz w:w="11906" w:h="16838"/>
      <w:pgMar w:top="567" w:right="170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D5412"/>
    <w:rsid w:val="00091B85"/>
    <w:rsid w:val="004753C6"/>
    <w:rsid w:val="004D70F4"/>
    <w:rsid w:val="00777A0B"/>
    <w:rsid w:val="008C5736"/>
    <w:rsid w:val="009404A1"/>
    <w:rsid w:val="009F38CD"/>
    <w:rsid w:val="00AA0275"/>
    <w:rsid w:val="00BB0D19"/>
    <w:rsid w:val="00CD5412"/>
    <w:rsid w:val="00D27614"/>
    <w:rsid w:val="00D92EEB"/>
    <w:rsid w:val="00E2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ules v:ext="edit">
        <o:r id="V:Rule15" type="callout" idref="#_x0000_s1051"/>
        <o:r id="V:Rule16" type="callout" idref="#_x0000_s1045"/>
        <o:r id="V:Rule17" type="callout" idref="#_x0000_s1046"/>
        <o:r id="V:Rule18" type="callout" idref="#_x0000_s1047"/>
        <o:r id="V:Rule19" type="callout" idref="#_x0000_s1054"/>
        <o:r id="V:Rule20" type="callout" idref="#_x0000_s1055"/>
        <o:r id="V:Rule23" type="callout" idref="#_x0000_s1052"/>
        <o:r id="V:Rule24" type="connector" idref="#_x0000_s1049"/>
        <o:r id="V:Rule25" type="connector" idref="#_x0000_s1050"/>
        <o:r id="V:Rule26" type="connector" idref="#_x0000_s1048"/>
        <o:r id="V:Rule28" type="callout" idref="#_x0000_s1058"/>
        <o:r id="V:Rule30" type="callout" idref="#_x0000_s1059"/>
        <o:r id="V:Rule32" type="callout" idref="#_x0000_s1060"/>
        <o:r id="V:Rule34" type="callout" idref="#_x0000_s1063"/>
        <o:r id="V:Rule38" type="callout" idref="#_x0000_s1065"/>
        <o:r id="V:Rule40" type="callout" idref="#_x0000_s1066"/>
        <o:r id="V:Rule42" type="callout" idref="#_x0000_s1067"/>
        <o:r id="V:Rule44" type="callout" idref="#_x0000_s1068"/>
        <o:r id="V:Rule46" type="callout" idref="#_x0000_s1069"/>
        <o:r id="V:Rule50" type="callout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Y-nakamura</dc:creator>
  <cp:lastModifiedBy>Y-nakamura</cp:lastModifiedBy>
  <cp:revision>2</cp:revision>
  <cp:lastPrinted>2013-09-27T03:00:00Z</cp:lastPrinted>
  <dcterms:created xsi:type="dcterms:W3CDTF">2013-09-27T00:08:00Z</dcterms:created>
  <dcterms:modified xsi:type="dcterms:W3CDTF">2013-09-27T05:29:00Z</dcterms:modified>
</cp:coreProperties>
</file>